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6" w:rsidRPr="00516516" w:rsidRDefault="00516516" w:rsidP="005165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Письмо Министерства регионального развития РФ</w:t>
      </w: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br/>
        <w:t>от 23 августа 2010 г. № 30665-ИБ/14</w:t>
      </w:r>
    </w:p>
    <w:p w:rsidR="00516516" w:rsidRPr="00516516" w:rsidRDefault="00516516" w:rsidP="005165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Министерство регионального развития Российской Федерации рассмотрело обращение по вопросу разъяснения норм жилищного законодательства и сообщает следующее.</w:t>
      </w:r>
    </w:p>
    <w:p w:rsidR="00516516" w:rsidRPr="00516516" w:rsidRDefault="00516516" w:rsidP="005165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Домофон, как оборудование, находящееся в многоквартирном доме, и обслуживающее более одного помещения (квартиры), полностью отвечает признакам общего имущества в многоквартирном доме, указанным в части 1 статьи 36 </w:t>
      </w:r>
      <w:r w:rsidRPr="00516516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 и в подпункте "д" пункта 2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утвержденных постановлением Правительства Российской Федерации от 13.08.2006 года № </w:t>
      </w:r>
      <w:r w:rsidRPr="00516516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491</w:t>
      </w: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. В соответствии со статьей 36 </w:t>
      </w:r>
      <w:r w:rsidRPr="00516516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 для решения вопроса об установлении домофона даже в одном подъезде необходимо уведомить всех собственников многоквартирного дома и получить их согласие путем проведения общего собрания собственников помещений многоквартирного дома. Обслуживание домофона, как технической составляющей автоматически запирающегося устройства входной двери, входит в перечень и стоимость работ по содержанию общего имущества и является обязанностью управляющей организации. Управляющая организация обязана заключить договор на эксплуатацию данного устройства с соответствующей организацией. Предъявление управляющей организацией собственнику к оплате стоимости такой дополнительной услуги, как "Обслуживание домофона", является необоснованным и незаконным.</w:t>
      </w:r>
    </w:p>
    <w:p w:rsidR="00516516" w:rsidRPr="00516516" w:rsidRDefault="00516516" w:rsidP="005165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16516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197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  <w:gridCol w:w="9360"/>
      </w:tblGrid>
      <w:tr w:rsidR="00516516" w:rsidRPr="00516516" w:rsidTr="00516516"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516" w:rsidRDefault="00516516" w:rsidP="005165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1651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Директор Департамента жилищно-коммунального хозяйства</w:t>
            </w:r>
          </w:p>
          <w:p w:rsidR="00516516" w:rsidRDefault="00516516" w:rsidP="005165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16516" w:rsidRPr="00516516" w:rsidRDefault="00516516" w:rsidP="005165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516" w:rsidRPr="00516516" w:rsidRDefault="00516516" w:rsidP="005165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16516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И.А. Булгакова</w:t>
            </w:r>
          </w:p>
        </w:tc>
      </w:tr>
    </w:tbl>
    <w:p w:rsidR="0059382B" w:rsidRPr="00516516" w:rsidRDefault="0059382B"/>
    <w:sectPr w:rsidR="0059382B" w:rsidRPr="0051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7"/>
    <w:rsid w:val="00516516"/>
    <w:rsid w:val="0059382B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E533"/>
  <w15:chartTrackingRefBased/>
  <w15:docId w15:val="{06D10FA0-D409-4DE3-859D-4D4691E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2019-10-03T06:50:00Z</dcterms:created>
  <dcterms:modified xsi:type="dcterms:W3CDTF">2019-10-03T06:51:00Z</dcterms:modified>
</cp:coreProperties>
</file>